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64A6" w14:textId="77777777" w:rsidR="00421C24" w:rsidRDefault="00421C24" w:rsidP="00421C24">
      <w:pPr>
        <w:widowControl/>
        <w:jc w:val="center"/>
        <w:rPr>
          <w:rFonts w:ascii="����" w:eastAsia="宋体" w:hAnsi="����" w:cs="宋体" w:hint="eastAsia"/>
          <w:b/>
          <w:bCs/>
          <w:color w:val="000000"/>
          <w:kern w:val="0"/>
          <w:sz w:val="36"/>
          <w:szCs w:val="36"/>
          <w:shd w:val="clear" w:color="auto" w:fill="FFFFFF"/>
        </w:rPr>
      </w:pPr>
      <w:r w:rsidRPr="00421C24">
        <w:rPr>
          <w:rFonts w:ascii="����" w:eastAsia="宋体" w:hAnsi="����" w:cs="宋体"/>
          <w:b/>
          <w:bCs/>
          <w:color w:val="000000"/>
          <w:kern w:val="0"/>
          <w:sz w:val="36"/>
          <w:szCs w:val="36"/>
          <w:shd w:val="clear" w:color="auto" w:fill="FFFFFF"/>
        </w:rPr>
        <w:t>人力资源社会保障部关于调整年金基金</w:t>
      </w:r>
    </w:p>
    <w:p w14:paraId="2BC0A863" w14:textId="16D0B21B" w:rsidR="004C41E4" w:rsidRPr="00421C24" w:rsidRDefault="00421C24" w:rsidP="00421C24">
      <w:pPr>
        <w:widowControl/>
        <w:jc w:val="center"/>
        <w:rPr>
          <w:rFonts w:ascii="宋体" w:eastAsia="宋体" w:hAnsi="宋体" w:cs="宋体"/>
          <w:kern w:val="0"/>
          <w:sz w:val="24"/>
        </w:rPr>
      </w:pPr>
      <w:r w:rsidRPr="00421C24">
        <w:rPr>
          <w:rFonts w:ascii="����" w:eastAsia="宋体" w:hAnsi="����" w:cs="宋体"/>
          <w:b/>
          <w:bCs/>
          <w:color w:val="000000"/>
          <w:kern w:val="0"/>
          <w:sz w:val="36"/>
          <w:szCs w:val="36"/>
          <w:shd w:val="clear" w:color="auto" w:fill="FFFFFF"/>
        </w:rPr>
        <w:t>投资范围的通知</w:t>
      </w:r>
    </w:p>
    <w:p w14:paraId="69EE8E00" w14:textId="5F4D7652" w:rsidR="00421C24" w:rsidRDefault="00421C24" w:rsidP="00421C24">
      <w:pPr>
        <w:spacing w:line="360" w:lineRule="auto"/>
        <w:jc w:val="right"/>
        <w:rPr>
          <w:rFonts w:ascii="宋体" w:eastAsia="宋体" w:hAnsi="宋体" w:cs="Times New Roman"/>
          <w:kern w:val="0"/>
          <w:sz w:val="24"/>
        </w:rPr>
      </w:pPr>
      <w:proofErr w:type="gramStart"/>
      <w:r w:rsidRPr="00421C24">
        <w:rPr>
          <w:rFonts w:ascii="宋体" w:eastAsia="宋体" w:hAnsi="宋体" w:cs="Times New Roman"/>
          <w:kern w:val="0"/>
          <w:sz w:val="24"/>
        </w:rPr>
        <w:t>人社部</w:t>
      </w:r>
      <w:proofErr w:type="gramEnd"/>
      <w:r w:rsidRPr="00421C24">
        <w:rPr>
          <w:rFonts w:ascii="宋体" w:eastAsia="宋体" w:hAnsi="宋体" w:cs="Times New Roman"/>
          <w:kern w:val="0"/>
          <w:sz w:val="24"/>
        </w:rPr>
        <w:t>发﹝2020﹞95号</w:t>
      </w:r>
    </w:p>
    <w:p w14:paraId="39C110B0" w14:textId="66F53B3F" w:rsidR="00421C24" w:rsidRPr="00421C24" w:rsidRDefault="00421C24" w:rsidP="00421C24">
      <w:pPr>
        <w:wordWrap w:val="0"/>
        <w:spacing w:line="360" w:lineRule="auto"/>
        <w:ind w:right="360"/>
        <w:jc w:val="right"/>
        <w:rPr>
          <w:rFonts w:ascii="宋体" w:eastAsia="宋体" w:hAnsi="宋体" w:cs="Times New Roman"/>
          <w:kern w:val="0"/>
          <w:sz w:val="24"/>
        </w:rPr>
      </w:pPr>
      <w:r>
        <w:rPr>
          <w:rFonts w:ascii="宋体" w:eastAsia="宋体" w:hAnsi="宋体" w:cs="Times New Roman" w:hint="eastAsia"/>
          <w:kern w:val="0"/>
          <w:sz w:val="24"/>
        </w:rPr>
        <w:t xml:space="preserve"> </w:t>
      </w:r>
      <w:r>
        <w:rPr>
          <w:rFonts w:ascii="宋体" w:eastAsia="宋体" w:hAnsi="宋体" w:cs="Times New Roman"/>
          <w:kern w:val="0"/>
          <w:sz w:val="24"/>
        </w:rPr>
        <w:t xml:space="preserve">    </w:t>
      </w:r>
    </w:p>
    <w:p w14:paraId="7FCA7FCC"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各省、自治区、直辖市及新疆生产建设兵团人力资源社会保障厅（局），各计划单列市人力资源社会保障局，各企业年金基金管理机构、企业年金理事会：</w:t>
      </w:r>
    </w:p>
    <w:p w14:paraId="1695A13C" w14:textId="77777777" w:rsidR="00421C24" w:rsidRPr="00421C24" w:rsidRDefault="00421C24" w:rsidP="00421C24">
      <w:pPr>
        <w:spacing w:line="360" w:lineRule="auto"/>
        <w:rPr>
          <w:rFonts w:ascii="宋体" w:eastAsia="宋体" w:hAnsi="宋体" w:cs="Times New Roman"/>
          <w:kern w:val="0"/>
          <w:sz w:val="24"/>
        </w:rPr>
      </w:pPr>
    </w:p>
    <w:p w14:paraId="05573279"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为促进年金市场健康发展，实现年金基金资产保值增值，根据《企业年金基金管理办法》（人力资源社会保障部令第11号）、《人力资源社会保障部 财政部关于印发职业年金基金管理暂行办法的通知》（</w:t>
      </w:r>
      <w:proofErr w:type="gramStart"/>
      <w:r w:rsidRPr="00421C24">
        <w:rPr>
          <w:rFonts w:ascii="宋体" w:eastAsia="宋体" w:hAnsi="宋体" w:cs="Times New Roman"/>
          <w:kern w:val="0"/>
          <w:sz w:val="24"/>
        </w:rPr>
        <w:t>人社部</w:t>
      </w:r>
      <w:proofErr w:type="gramEnd"/>
      <w:r w:rsidRPr="00421C24">
        <w:rPr>
          <w:rFonts w:ascii="宋体" w:eastAsia="宋体" w:hAnsi="宋体" w:cs="Times New Roman"/>
          <w:kern w:val="0"/>
          <w:sz w:val="24"/>
        </w:rPr>
        <w:t>发〔2016〕92号）等法律法规规定，经商财政部、银保监会、证监会，现就调整年金基金投资范围的有关事项通知如下：</w:t>
      </w:r>
    </w:p>
    <w:p w14:paraId="7D37FDDB" w14:textId="77777777" w:rsidR="00421C24" w:rsidRPr="00421C24" w:rsidRDefault="00421C24" w:rsidP="00421C24">
      <w:pPr>
        <w:spacing w:line="360" w:lineRule="auto"/>
        <w:rPr>
          <w:rFonts w:ascii="宋体" w:eastAsia="宋体" w:hAnsi="宋体" w:cs="Times New Roman"/>
          <w:kern w:val="0"/>
          <w:sz w:val="24"/>
        </w:rPr>
      </w:pPr>
    </w:p>
    <w:p w14:paraId="6812B9B6"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一、本通知所称年金基金,是指根据依法建立的年金计划筹集的资金及其投资运营收益形成的补充养老保险基金，包括企业年金基金和职业年金基金。年金基金投资管理应当遵循谨慎、分散风险的原则，充分考虑年金基金财产的安全性、收益性和流动性，实行专业化管理。</w:t>
      </w:r>
    </w:p>
    <w:p w14:paraId="316B5E66" w14:textId="77777777" w:rsidR="00421C24" w:rsidRPr="00421C24" w:rsidRDefault="00421C24" w:rsidP="00421C24">
      <w:pPr>
        <w:spacing w:line="360" w:lineRule="auto"/>
        <w:rPr>
          <w:rFonts w:ascii="宋体" w:eastAsia="宋体" w:hAnsi="宋体" w:cs="Times New Roman"/>
          <w:kern w:val="0"/>
          <w:sz w:val="24"/>
        </w:rPr>
      </w:pPr>
    </w:p>
    <w:p w14:paraId="53464076" w14:textId="68EEE003"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二、年金基金财产限于境内投资和香港市场投资。</w:t>
      </w:r>
    </w:p>
    <w:p w14:paraId="7C701E14" w14:textId="2F14C428"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境内投资范围包括银行存款，标准化债权类资产，债券回购，信托产品，债权投资计划，公开募集证券投资基金，股票，股指期货，国债期货，养老金产品。</w:t>
      </w:r>
    </w:p>
    <w:p w14:paraId="743EDFEC"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香港市场投资指年金基金通过股票型养老金产品或公开募集证券投资基金，投资内地与香港股票市场交易互联互通机制下允许买卖的香港联合交易所上市股票（简称“港股通标的股票”）。</w:t>
      </w:r>
    </w:p>
    <w:p w14:paraId="2B2147EA" w14:textId="77777777" w:rsidR="00421C24" w:rsidRPr="00421C24" w:rsidRDefault="00421C24" w:rsidP="00421C24">
      <w:pPr>
        <w:spacing w:line="360" w:lineRule="auto"/>
        <w:rPr>
          <w:rFonts w:ascii="宋体" w:eastAsia="宋体" w:hAnsi="宋体" w:cs="Times New Roman"/>
          <w:kern w:val="0"/>
          <w:sz w:val="24"/>
        </w:rPr>
      </w:pPr>
    </w:p>
    <w:p w14:paraId="36D09421"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三、年金基金可投资的标准化债权类资产指依法发行的固定收益证券，包括国债，中央银行票据，同业存单，政策性、开发性银行债券，以及信用等级在投资级以上的金融债、企业债、公司债、可转换债、可交换债、（超）短期融资</w:t>
      </w:r>
      <w:proofErr w:type="gramStart"/>
      <w:r w:rsidRPr="00421C24">
        <w:rPr>
          <w:rFonts w:ascii="宋体" w:eastAsia="宋体" w:hAnsi="宋体" w:cs="Times New Roman"/>
          <w:kern w:val="0"/>
          <w:sz w:val="24"/>
        </w:rPr>
        <w:t>券</w:t>
      </w:r>
      <w:proofErr w:type="gramEnd"/>
      <w:r w:rsidRPr="00421C24">
        <w:rPr>
          <w:rFonts w:ascii="宋体" w:eastAsia="宋体" w:hAnsi="宋体" w:cs="Times New Roman"/>
          <w:kern w:val="0"/>
          <w:sz w:val="24"/>
        </w:rPr>
        <w:t>、中期票据、非公开定向债务融资工具、信贷资产支持证券、资产支持票据、证券</w:t>
      </w:r>
      <w:r w:rsidRPr="00421C24">
        <w:rPr>
          <w:rFonts w:ascii="宋体" w:eastAsia="宋体" w:hAnsi="宋体" w:cs="Times New Roman"/>
          <w:kern w:val="0"/>
          <w:sz w:val="24"/>
        </w:rPr>
        <w:lastRenderedPageBreak/>
        <w:t>交易所挂牌交易的资产支持证券。上述资产发行方式包括公开发行和非公开发行。</w:t>
      </w:r>
    </w:p>
    <w:p w14:paraId="7ACF91B2" w14:textId="77777777" w:rsidR="00421C24" w:rsidRPr="00421C24" w:rsidRDefault="00421C24" w:rsidP="00421C24">
      <w:pPr>
        <w:spacing w:line="360" w:lineRule="auto"/>
        <w:rPr>
          <w:rFonts w:ascii="宋体" w:eastAsia="宋体" w:hAnsi="宋体" w:cs="Times New Roman"/>
          <w:kern w:val="0"/>
          <w:sz w:val="24"/>
        </w:rPr>
      </w:pPr>
    </w:p>
    <w:p w14:paraId="380855AB" w14:textId="4AB6100B"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四、年金基金财产以投资组合为单位，按照公允价值计算应当符合下列规定：</w:t>
      </w:r>
    </w:p>
    <w:p w14:paraId="3F2278E4" w14:textId="459243D9"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一）投资一年期以内（含一年）的银行存款、中央银行票据，同业存单，剩余期限在一年期以内（含一年）的国债，剩余期限在一年期以内（含一年）的政策性、开发性银行债券，债券回购，货币市场基金，货币型养老金产品等流动性资产的比例，合计不得低于投资组合委托投资资产净值的5%。清算备付金、证券清算款以及一级市场证券申购资金视为流动性资产。</w:t>
      </w:r>
    </w:p>
    <w:p w14:paraId="03BFEF2F" w14:textId="1741AB1C"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二）投资一年期以上的银行存款，标准化债权类资产，信托产品，债权投资计划，债券基金，固定收益型养老金产品，混合型养老金产品等固定收益类资产的比例，合计不得高于投资组合委托投资资产净值的135%。债券正回购的资金余额在每个交易日均不得高于投资组合委托投资资产净值的40%。已计入流动性资产的不再重复计入固定收益类资产。</w:t>
      </w:r>
    </w:p>
    <w:p w14:paraId="54CA49DA" w14:textId="4D4E0B64"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（三）投资股票、股票基金、混合基金、股票型养老金产品（</w:t>
      </w:r>
      <w:proofErr w:type="gramStart"/>
      <w:r w:rsidRPr="00421C24">
        <w:rPr>
          <w:rFonts w:ascii="宋体" w:eastAsia="宋体" w:hAnsi="宋体" w:cs="Times New Roman"/>
          <w:kern w:val="0"/>
          <w:sz w:val="24"/>
        </w:rPr>
        <w:t>含股票</w:t>
      </w:r>
      <w:proofErr w:type="gramEnd"/>
      <w:r w:rsidRPr="00421C24">
        <w:rPr>
          <w:rFonts w:ascii="宋体" w:eastAsia="宋体" w:hAnsi="宋体" w:cs="Times New Roman"/>
          <w:kern w:val="0"/>
          <w:sz w:val="24"/>
        </w:rPr>
        <w:t>专项型养老金产品）等权益类资产的比例，合计不得高于投资组合委托投资资产净值的40%。其中，投资港股通标的产品的比例，不得高于投资组合委托投资资产净值的20%；投资单只股票专项型养老金产品的比例，不得高于投资组合委托投资资产净值的10%。</w:t>
      </w:r>
    </w:p>
    <w:p w14:paraId="1F8EFB9D" w14:textId="4617DA56"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年金基金不得直接投资于权证，但因投资股票、分离交易可转换债等投资品种而衍生获得的权证，应当在权证上市交易之日起10个交易日内卖出。</w:t>
      </w:r>
    </w:p>
    <w:p w14:paraId="76E170F2" w14:textId="1C1FFB5F"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四）投资信托产品、债权投资计划，以及信托产品型、债权投资计划型养老金产品的比例，合计不得高于投资组合委托投资资产净值的30%。其中，投资信托产品以及信托产品型养老金产品的比例，合计不得高于投资组合委托投资资产净值的10%。</w:t>
      </w:r>
    </w:p>
    <w:p w14:paraId="41B6DA7E"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五）专门投资组合是指将80%以上非现金资产投资于银行存款、信托产品、债权投资计划或者存款型、信托产品型、债权投资计划型养老金产品中的一类产品而专门设立的投资组合。专门投资组合可以不受第（一）款5%流动性限制。投资信托产品、债权投资计划或信托产品型、债权投资计划型养老金产品的专门投资组合，可以不受第（四）款30%和10%规定的限制。</w:t>
      </w:r>
    </w:p>
    <w:p w14:paraId="1EE8E0E1" w14:textId="77777777" w:rsidR="00421C24" w:rsidRPr="00421C24" w:rsidRDefault="00421C24" w:rsidP="00421C24">
      <w:pPr>
        <w:spacing w:line="360" w:lineRule="auto"/>
        <w:rPr>
          <w:rFonts w:ascii="宋体" w:eastAsia="宋体" w:hAnsi="宋体" w:cs="Times New Roman"/>
          <w:kern w:val="0"/>
          <w:sz w:val="24"/>
        </w:rPr>
      </w:pPr>
    </w:p>
    <w:p w14:paraId="3084B4BB" w14:textId="11FB3518"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五、单个投资组合的年金基金财产，按照公允价值计算应当符合下列规定:</w:t>
      </w:r>
    </w:p>
    <w:p w14:paraId="67697224" w14:textId="6D309B6E"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一）投资一家企业所发行的股票，单期发行的同一品种标准化债权类资产，单只证券投资基金，分别不得超过上述证券发行量、该基金份额（基金产品份额数以最近一次公告或者发行人正式说明为准）的5%，也分别不得超过该投资组合委托投资资产净值的10%。其中，投资资产支持证券或资产支持票据的比例不得超过该只证券发行量的10%。</w:t>
      </w:r>
    </w:p>
    <w:p w14:paraId="534CCD55"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（二）投资单期信托产品、债权投资计划，分别不得超过该期信托产品、债权投资计划资产管理规模的20%。投资信托产品、债权投资计划的专门投资组合，可以不受此规定的限制。</w:t>
      </w:r>
    </w:p>
    <w:p w14:paraId="446E1231" w14:textId="77777777" w:rsidR="00421C24" w:rsidRPr="00421C24" w:rsidRDefault="00421C24" w:rsidP="00421C24">
      <w:pPr>
        <w:spacing w:line="360" w:lineRule="auto"/>
        <w:rPr>
          <w:rFonts w:ascii="宋体" w:eastAsia="宋体" w:hAnsi="宋体" w:cs="Times New Roman"/>
          <w:kern w:val="0"/>
          <w:sz w:val="24"/>
        </w:rPr>
      </w:pPr>
    </w:p>
    <w:p w14:paraId="5B3562BC" w14:textId="7CC7B043"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六、单个计划的年金基金财产按照公允价值计算，应当符合投资流动性资产、固定收益类资产、权益类资产、信托产品、债权投资计划，以及信托产品型、债权投资计划型养老金产品的比例限制，参照本通知第四条管理。</w:t>
      </w:r>
    </w:p>
    <w:p w14:paraId="2A19A0E3"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法人受托机构可以设立受托直投组合，将部分或全部受托管理的年金计划基金资产，直接分配给一个或多个养老金产品。单个受托直投组合配置本公司发行的养老金产品的比例，合计不得高于受托直投组合资产净值的40%。</w:t>
      </w:r>
    </w:p>
    <w:p w14:paraId="343DEF18" w14:textId="77777777" w:rsidR="00421C24" w:rsidRPr="00421C24" w:rsidRDefault="00421C24" w:rsidP="00421C24">
      <w:pPr>
        <w:spacing w:line="360" w:lineRule="auto"/>
        <w:rPr>
          <w:rFonts w:ascii="宋体" w:eastAsia="宋体" w:hAnsi="宋体" w:cs="Times New Roman"/>
          <w:kern w:val="0"/>
          <w:sz w:val="24"/>
        </w:rPr>
      </w:pPr>
    </w:p>
    <w:p w14:paraId="6F9CD64F" w14:textId="13C1EA5C"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七、年金基金投资港股通标的股票的股票型养老金产品应当符合下列规定：</w:t>
      </w:r>
    </w:p>
    <w:p w14:paraId="3777868C" w14:textId="1148942E"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（一）投资港股通标的股票的股票型养老金产品名称中应含有“港股”字样，且应有80%以上的权益类资产投资于港股通标的股票。</w:t>
      </w:r>
    </w:p>
    <w:p w14:paraId="7F717D26"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（二）发行含有“港股”字样养老金产品的投资管理人应当配备不少于2名具有5年以上投资管理经验且具有2年以上香港股票市场投资管理相关经验的人员，其中至少应包括1名投资经理。</w:t>
      </w:r>
    </w:p>
    <w:p w14:paraId="3FDB2845" w14:textId="77777777" w:rsidR="00421C24" w:rsidRPr="00421C24" w:rsidRDefault="00421C24" w:rsidP="00421C24">
      <w:pPr>
        <w:spacing w:line="360" w:lineRule="auto"/>
        <w:rPr>
          <w:rFonts w:ascii="宋体" w:eastAsia="宋体" w:hAnsi="宋体" w:cs="Times New Roman"/>
          <w:kern w:val="0"/>
          <w:sz w:val="24"/>
        </w:rPr>
      </w:pPr>
    </w:p>
    <w:p w14:paraId="2AFA7218" w14:textId="28696A80"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八、年金基金可投资的优先股应当符合下列规定：</w:t>
      </w:r>
    </w:p>
    <w:p w14:paraId="64F7C687"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（一）证券投资组合及混合型、股票型（</w:t>
      </w:r>
      <w:proofErr w:type="gramStart"/>
      <w:r w:rsidRPr="00421C24">
        <w:rPr>
          <w:rFonts w:ascii="宋体" w:eastAsia="宋体" w:hAnsi="宋体" w:cs="Times New Roman"/>
          <w:kern w:val="0"/>
          <w:sz w:val="24"/>
        </w:rPr>
        <w:t>含股票</w:t>
      </w:r>
      <w:proofErr w:type="gramEnd"/>
      <w:r w:rsidRPr="00421C24">
        <w:rPr>
          <w:rFonts w:ascii="宋体" w:eastAsia="宋体" w:hAnsi="宋体" w:cs="Times New Roman"/>
          <w:kern w:val="0"/>
          <w:sz w:val="24"/>
        </w:rPr>
        <w:t>专项型）养老金产品可投资优先股。</w:t>
      </w:r>
    </w:p>
    <w:p w14:paraId="108811A5" w14:textId="77777777" w:rsidR="00421C24" w:rsidRPr="00421C24" w:rsidRDefault="00421C24" w:rsidP="00421C24">
      <w:pPr>
        <w:spacing w:line="360" w:lineRule="auto"/>
        <w:rPr>
          <w:rFonts w:ascii="宋体" w:eastAsia="宋体" w:hAnsi="宋体" w:cs="Times New Roman"/>
          <w:kern w:val="0"/>
          <w:sz w:val="24"/>
        </w:rPr>
      </w:pPr>
    </w:p>
    <w:p w14:paraId="278D26C8" w14:textId="6F277668"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lastRenderedPageBreak/>
        <w:t xml:space="preserve">　　（二）优先股发行主体信用等级不低于国内信用评级机构评定的AAA级，且优先股信用等级不低于国内信用评级机构评定的AA+级。</w:t>
      </w:r>
    </w:p>
    <w:p w14:paraId="6F8D52E5" w14:textId="21C15F45" w:rsid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（三）优先股发行主体公司章程或优先股募集说明书中应当包含明确的分红条款。</w:t>
      </w:r>
    </w:p>
    <w:p w14:paraId="1270915E" w14:textId="77777777" w:rsidR="00421C24" w:rsidRPr="00421C24" w:rsidRDefault="00421C24" w:rsidP="00421C24">
      <w:pPr>
        <w:spacing w:line="360" w:lineRule="auto"/>
        <w:rPr>
          <w:rFonts w:ascii="宋体" w:eastAsia="宋体" w:hAnsi="宋体" w:cs="Times New Roman"/>
          <w:kern w:val="0"/>
          <w:sz w:val="24"/>
        </w:rPr>
      </w:pPr>
    </w:p>
    <w:p w14:paraId="1BB214CD"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九、年金基金可投资的同业存单的发行主体信用等级应不低于国内信用评级机构评定的AAA级。</w:t>
      </w:r>
    </w:p>
    <w:p w14:paraId="19D4CED2" w14:textId="77777777" w:rsidR="00421C24" w:rsidRPr="00421C24" w:rsidRDefault="00421C24" w:rsidP="00421C24">
      <w:pPr>
        <w:spacing w:line="360" w:lineRule="auto"/>
        <w:rPr>
          <w:rFonts w:ascii="宋体" w:eastAsia="宋体" w:hAnsi="宋体" w:cs="Times New Roman"/>
          <w:kern w:val="0"/>
          <w:sz w:val="24"/>
        </w:rPr>
      </w:pPr>
    </w:p>
    <w:p w14:paraId="2258849F" w14:textId="03857894"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十、年金基金可投资的永续</w:t>
      </w:r>
      <w:proofErr w:type="gramStart"/>
      <w:r w:rsidRPr="00421C24">
        <w:rPr>
          <w:rFonts w:ascii="宋体" w:eastAsia="宋体" w:hAnsi="宋体" w:cs="Times New Roman"/>
          <w:kern w:val="0"/>
          <w:sz w:val="24"/>
        </w:rPr>
        <w:t>债应当</w:t>
      </w:r>
      <w:proofErr w:type="gramEnd"/>
      <w:r w:rsidRPr="00421C24">
        <w:rPr>
          <w:rFonts w:ascii="宋体" w:eastAsia="宋体" w:hAnsi="宋体" w:cs="Times New Roman"/>
          <w:kern w:val="0"/>
          <w:sz w:val="24"/>
        </w:rPr>
        <w:t>符合下列规定：</w:t>
      </w:r>
    </w:p>
    <w:p w14:paraId="347D551D" w14:textId="76B991A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（一）永续债及发行主体的信用等级不低于国内信用评级机构评定的AA+级；其中，非公开募集的</w:t>
      </w:r>
      <w:proofErr w:type="gramStart"/>
      <w:r w:rsidRPr="00421C24">
        <w:rPr>
          <w:rFonts w:ascii="宋体" w:eastAsia="宋体" w:hAnsi="宋体" w:cs="Times New Roman"/>
          <w:kern w:val="0"/>
          <w:sz w:val="24"/>
        </w:rPr>
        <w:t>永续债可无债</w:t>
      </w:r>
      <w:proofErr w:type="gramEnd"/>
      <w:r w:rsidRPr="00421C24">
        <w:rPr>
          <w:rFonts w:ascii="宋体" w:eastAsia="宋体" w:hAnsi="宋体" w:cs="Times New Roman"/>
          <w:kern w:val="0"/>
          <w:sz w:val="24"/>
        </w:rPr>
        <w:t>项评级，但其发行主体的信用等级需具有国内信用评级机构评定的AAA级。</w:t>
      </w:r>
    </w:p>
    <w:p w14:paraId="4736FA6C" w14:textId="326F666F" w:rsidR="00421C24" w:rsidRPr="00421C24" w:rsidRDefault="00421C24" w:rsidP="00421C24">
      <w:pPr>
        <w:spacing w:line="360" w:lineRule="auto"/>
        <w:ind w:firstLineChars="50" w:firstLine="120"/>
        <w:rPr>
          <w:rFonts w:ascii="宋体" w:eastAsia="宋体" w:hAnsi="宋体" w:cs="Times New Roman"/>
          <w:kern w:val="0"/>
          <w:sz w:val="24"/>
        </w:rPr>
      </w:pPr>
      <w:r w:rsidRPr="00421C24">
        <w:rPr>
          <w:rFonts w:ascii="宋体" w:eastAsia="宋体" w:hAnsi="宋体" w:cs="Times New Roman"/>
          <w:kern w:val="0"/>
          <w:sz w:val="24"/>
        </w:rPr>
        <w:t xml:space="preserve">　（二）有明确约定的利率和付息频率，有利率跳升条款；其中，商业银行发行的</w:t>
      </w:r>
      <w:proofErr w:type="gramStart"/>
      <w:r w:rsidRPr="00421C24">
        <w:rPr>
          <w:rFonts w:ascii="宋体" w:eastAsia="宋体" w:hAnsi="宋体" w:cs="Times New Roman"/>
          <w:kern w:val="0"/>
          <w:sz w:val="24"/>
        </w:rPr>
        <w:t>永续债可无</w:t>
      </w:r>
      <w:proofErr w:type="gramEnd"/>
      <w:r w:rsidRPr="00421C24">
        <w:rPr>
          <w:rFonts w:ascii="宋体" w:eastAsia="宋体" w:hAnsi="宋体" w:cs="Times New Roman"/>
          <w:kern w:val="0"/>
          <w:sz w:val="24"/>
        </w:rPr>
        <w:t>利率跳升条款，但发行主体的信用等级需具有国内信用评级机构评定的AAA级。</w:t>
      </w:r>
    </w:p>
    <w:p w14:paraId="2331E69D" w14:textId="77777777" w:rsidR="00421C24" w:rsidRPr="00421C24" w:rsidRDefault="00421C24" w:rsidP="00421C24">
      <w:pPr>
        <w:spacing w:line="360" w:lineRule="auto"/>
        <w:rPr>
          <w:rFonts w:ascii="宋体" w:eastAsia="宋体" w:hAnsi="宋体" w:cs="Times New Roman"/>
          <w:kern w:val="0"/>
          <w:sz w:val="24"/>
        </w:rPr>
      </w:pPr>
    </w:p>
    <w:p w14:paraId="6F3F48F4" w14:textId="4815B1FF"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十一、年金基金可投资的资产支持证券、资产支持票据应当符合下列规定：</w:t>
      </w:r>
    </w:p>
    <w:p w14:paraId="1BCE5D30" w14:textId="035A6712"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（一）在银行间债券市场或者证券交易所市场挂牌交易。</w:t>
      </w:r>
    </w:p>
    <w:p w14:paraId="799848AA" w14:textId="7205F5AA" w:rsid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（二）限于产品评级为国内信用评级机构评定的AAA</w:t>
      </w:r>
      <w:proofErr w:type="gramStart"/>
      <w:r w:rsidRPr="00421C24">
        <w:rPr>
          <w:rFonts w:ascii="宋体" w:eastAsia="宋体" w:hAnsi="宋体" w:cs="Times New Roman"/>
          <w:kern w:val="0"/>
          <w:sz w:val="24"/>
        </w:rPr>
        <w:t>级资产</w:t>
      </w:r>
      <w:proofErr w:type="gramEnd"/>
      <w:r w:rsidRPr="00421C24">
        <w:rPr>
          <w:rFonts w:ascii="宋体" w:eastAsia="宋体" w:hAnsi="宋体" w:cs="Times New Roman"/>
          <w:kern w:val="0"/>
          <w:sz w:val="24"/>
        </w:rPr>
        <w:t>支持证券、资产支持票据的优先级份额。</w:t>
      </w:r>
    </w:p>
    <w:p w14:paraId="69AE78EF" w14:textId="77777777" w:rsidR="00421C24" w:rsidRPr="00421C24" w:rsidRDefault="00421C24" w:rsidP="00421C24">
      <w:pPr>
        <w:spacing w:line="360" w:lineRule="auto"/>
        <w:rPr>
          <w:rFonts w:ascii="宋体" w:eastAsia="宋体" w:hAnsi="宋体" w:cs="Times New Roman"/>
          <w:kern w:val="0"/>
          <w:sz w:val="24"/>
        </w:rPr>
      </w:pPr>
    </w:p>
    <w:p w14:paraId="4CFC7EFA" w14:textId="6562648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十二、年金基金可投资的信托产品应当符合下列规定：</w:t>
      </w:r>
    </w:p>
    <w:p w14:paraId="525E39E2" w14:textId="0AB78AFA"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（一）限于集合资金信托计划和为年金基金设计、发行的单一资金信托。</w:t>
      </w:r>
    </w:p>
    <w:p w14:paraId="2F76F34C" w14:textId="3E5B5CEE"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（二）基础资产限于非标准化债权类资产。</w:t>
      </w:r>
    </w:p>
    <w:p w14:paraId="6F6F99D1" w14:textId="5208F492"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（三）投资相关合同应当包含固定频率的</w:t>
      </w:r>
      <w:proofErr w:type="gramStart"/>
      <w:r w:rsidRPr="00421C24">
        <w:rPr>
          <w:rFonts w:ascii="宋体" w:eastAsia="宋体" w:hAnsi="宋体" w:cs="Times New Roman"/>
          <w:kern w:val="0"/>
          <w:sz w:val="24"/>
        </w:rPr>
        <w:t>信托利益</w:t>
      </w:r>
      <w:proofErr w:type="gramEnd"/>
      <w:r w:rsidRPr="00421C24">
        <w:rPr>
          <w:rFonts w:ascii="宋体" w:eastAsia="宋体" w:hAnsi="宋体" w:cs="Times New Roman"/>
          <w:kern w:val="0"/>
          <w:sz w:val="24"/>
        </w:rPr>
        <w:t>分配表述及明确的“受益权转让”条款。</w:t>
      </w:r>
    </w:p>
    <w:p w14:paraId="15E9315A" w14:textId="3C9B6446"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（四）信用等级不低于国内信用评级机构评定的AA+级或者相当于AA+级的信用级别。但符合下列条件之一的，可以豁免外部信用评级：</w:t>
      </w:r>
    </w:p>
    <w:p w14:paraId="4412261D" w14:textId="3062A61A"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1．偿债主体上个会计年度</w:t>
      </w:r>
      <w:proofErr w:type="gramStart"/>
      <w:r w:rsidRPr="00421C24">
        <w:rPr>
          <w:rFonts w:ascii="宋体" w:eastAsia="宋体" w:hAnsi="宋体" w:cs="Times New Roman"/>
          <w:kern w:val="0"/>
          <w:sz w:val="24"/>
        </w:rPr>
        <w:t>末经</w:t>
      </w:r>
      <w:proofErr w:type="gramEnd"/>
      <w:r w:rsidRPr="00421C24">
        <w:rPr>
          <w:rFonts w:ascii="宋体" w:eastAsia="宋体" w:hAnsi="宋体" w:cs="Times New Roman"/>
          <w:kern w:val="0"/>
          <w:sz w:val="24"/>
        </w:rPr>
        <w:t>审计的净资产不低于150亿元人民币，或最</w:t>
      </w:r>
      <w:r w:rsidRPr="00421C24">
        <w:rPr>
          <w:rFonts w:ascii="宋体" w:eastAsia="宋体" w:hAnsi="宋体" w:cs="Times New Roman"/>
          <w:kern w:val="0"/>
          <w:sz w:val="24"/>
        </w:rPr>
        <w:lastRenderedPageBreak/>
        <w:t>近三年连续盈利且年营业收入不低于200亿元人民币；</w:t>
      </w:r>
    </w:p>
    <w:p w14:paraId="2D98F121" w14:textId="538AF0A9"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2．提供无条件不可撤销连带责任保证担保的担保人，担保人上个会计年度</w:t>
      </w:r>
      <w:proofErr w:type="gramStart"/>
      <w:r w:rsidRPr="00421C24">
        <w:rPr>
          <w:rFonts w:ascii="宋体" w:eastAsia="宋体" w:hAnsi="宋体" w:cs="Times New Roman"/>
          <w:kern w:val="0"/>
          <w:sz w:val="24"/>
        </w:rPr>
        <w:t>末经</w:t>
      </w:r>
      <w:proofErr w:type="gramEnd"/>
      <w:r w:rsidRPr="00421C24">
        <w:rPr>
          <w:rFonts w:ascii="宋体" w:eastAsia="宋体" w:hAnsi="宋体" w:cs="Times New Roman"/>
          <w:kern w:val="0"/>
          <w:sz w:val="24"/>
        </w:rPr>
        <w:t>审计的净资产不低于150亿元人民币，或最近三年连续盈利且年营业收入不低于200亿元人民币。</w:t>
      </w:r>
    </w:p>
    <w:p w14:paraId="193800AB" w14:textId="143F6C99"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（五）安排投资项目担保机制，但符合上述第四款1条规定且在风险可控的前提下可以豁免信用增级安排。</w:t>
      </w:r>
    </w:p>
    <w:p w14:paraId="147E5087"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（六）发行信托产品的信托公司应当具有完善的公司治理、良好的市场信誉和稳定的投资业绩，上个会计年度</w:t>
      </w:r>
      <w:proofErr w:type="gramStart"/>
      <w:r w:rsidRPr="00421C24">
        <w:rPr>
          <w:rFonts w:ascii="宋体" w:eastAsia="宋体" w:hAnsi="宋体" w:cs="Times New Roman"/>
          <w:kern w:val="0"/>
          <w:sz w:val="24"/>
        </w:rPr>
        <w:t>末经</w:t>
      </w:r>
      <w:proofErr w:type="gramEnd"/>
      <w:r w:rsidRPr="00421C24">
        <w:rPr>
          <w:rFonts w:ascii="宋体" w:eastAsia="宋体" w:hAnsi="宋体" w:cs="Times New Roman"/>
          <w:kern w:val="0"/>
          <w:sz w:val="24"/>
        </w:rPr>
        <w:t>审计的净资产不低于100亿元人民币；近一年公司及高级管理人员未发生重大违法违规行为。</w:t>
      </w:r>
    </w:p>
    <w:p w14:paraId="4CE40B8E" w14:textId="77777777" w:rsidR="00421C24" w:rsidRPr="00421C24" w:rsidRDefault="00421C24" w:rsidP="00421C24">
      <w:pPr>
        <w:spacing w:line="360" w:lineRule="auto"/>
        <w:rPr>
          <w:rFonts w:ascii="宋体" w:eastAsia="宋体" w:hAnsi="宋体" w:cs="Times New Roman"/>
          <w:kern w:val="0"/>
          <w:sz w:val="24"/>
        </w:rPr>
      </w:pPr>
    </w:p>
    <w:p w14:paraId="79D68D46" w14:textId="6035DDF5"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十三、年金基金可投资的债权投资计划应当符合下列规定：</w:t>
      </w:r>
    </w:p>
    <w:p w14:paraId="2E50FEA3" w14:textId="0D90D893"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（一）履行完毕相关监管机构规定的所有合法程序。</w:t>
      </w:r>
    </w:p>
    <w:p w14:paraId="28A361E4" w14:textId="08D12758"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（二）投资合同应当包含明确的“受益权转让”条款。</w:t>
      </w:r>
    </w:p>
    <w:p w14:paraId="5BD3CD80" w14:textId="5ADF0753"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（三）信用等级不低于国内信用评级机构评定的A级或者相当于A级的信用级别。</w:t>
      </w:r>
    </w:p>
    <w:p w14:paraId="21133DF8" w14:textId="3928E95F"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（四）投资品种限于银保监会认可的信用增级为保证担保方式和免于信用增级的情况。</w:t>
      </w:r>
    </w:p>
    <w:p w14:paraId="7A3D21FD"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（五）发行债权投资计划的公司应当具有完善的公司治理、良好的市场信誉和稳定的投资业绩，上个会计年度</w:t>
      </w:r>
      <w:proofErr w:type="gramStart"/>
      <w:r w:rsidRPr="00421C24">
        <w:rPr>
          <w:rFonts w:ascii="宋体" w:eastAsia="宋体" w:hAnsi="宋体" w:cs="Times New Roman"/>
          <w:kern w:val="0"/>
          <w:sz w:val="24"/>
        </w:rPr>
        <w:t>末经</w:t>
      </w:r>
      <w:proofErr w:type="gramEnd"/>
      <w:r w:rsidRPr="00421C24">
        <w:rPr>
          <w:rFonts w:ascii="宋体" w:eastAsia="宋体" w:hAnsi="宋体" w:cs="Times New Roman"/>
          <w:kern w:val="0"/>
          <w:sz w:val="24"/>
        </w:rPr>
        <w:t>审计的净资产不低于2亿元人民币。</w:t>
      </w:r>
    </w:p>
    <w:p w14:paraId="164DF161" w14:textId="77777777" w:rsidR="00421C24" w:rsidRPr="00421C24" w:rsidRDefault="00421C24" w:rsidP="00421C24">
      <w:pPr>
        <w:spacing w:line="360" w:lineRule="auto"/>
        <w:rPr>
          <w:rFonts w:ascii="宋体" w:eastAsia="宋体" w:hAnsi="宋体" w:cs="Times New Roman"/>
          <w:kern w:val="0"/>
          <w:sz w:val="24"/>
        </w:rPr>
      </w:pPr>
    </w:p>
    <w:p w14:paraId="5FF116AA" w14:textId="718DC2C4"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十四、投资组合、养老金产品参与股指期货、国债期货交易应当符合下列规定：</w:t>
      </w:r>
    </w:p>
    <w:p w14:paraId="641DE9ED" w14:textId="6675D090"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（一）根据风险管理的原则，只能以套期保值为目的，并按照中国金融期货交易所套期保值管理的有关规定执行。</w:t>
      </w:r>
    </w:p>
    <w:p w14:paraId="3161FF3D" w14:textId="50CF0BCA"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（二）任</w:t>
      </w:r>
      <w:proofErr w:type="gramStart"/>
      <w:r w:rsidRPr="00421C24">
        <w:rPr>
          <w:rFonts w:ascii="宋体" w:eastAsia="宋体" w:hAnsi="宋体" w:cs="Times New Roman"/>
          <w:kern w:val="0"/>
          <w:sz w:val="24"/>
        </w:rPr>
        <w:t>一</w:t>
      </w:r>
      <w:proofErr w:type="gramEnd"/>
      <w:r w:rsidRPr="00421C24">
        <w:rPr>
          <w:rFonts w:ascii="宋体" w:eastAsia="宋体" w:hAnsi="宋体" w:cs="Times New Roman"/>
          <w:kern w:val="0"/>
          <w:sz w:val="24"/>
        </w:rPr>
        <w:t>投资组合或者养老金产品在任何交易日日终，所持有的卖出股指期货或者国债期货合约价值，不得超过其对冲标的</w:t>
      </w:r>
      <w:proofErr w:type="gramStart"/>
      <w:r w:rsidRPr="00421C24">
        <w:rPr>
          <w:rFonts w:ascii="宋体" w:eastAsia="宋体" w:hAnsi="宋体" w:cs="Times New Roman"/>
          <w:kern w:val="0"/>
          <w:sz w:val="24"/>
        </w:rPr>
        <w:t>的</w:t>
      </w:r>
      <w:proofErr w:type="gramEnd"/>
      <w:r w:rsidRPr="00421C24">
        <w:rPr>
          <w:rFonts w:ascii="宋体" w:eastAsia="宋体" w:hAnsi="宋体" w:cs="Times New Roman"/>
          <w:kern w:val="0"/>
          <w:sz w:val="24"/>
        </w:rPr>
        <w:t>账面价值。</w:t>
      </w:r>
    </w:p>
    <w:p w14:paraId="1789A041"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（三）投资组合、养老金产品不得买入股指期货或者国债期货套期保值。</w:t>
      </w:r>
    </w:p>
    <w:p w14:paraId="15D58FF8" w14:textId="77777777" w:rsidR="00421C24" w:rsidRPr="00421C24" w:rsidRDefault="00421C24" w:rsidP="00421C24">
      <w:pPr>
        <w:spacing w:line="360" w:lineRule="auto"/>
        <w:rPr>
          <w:rFonts w:ascii="宋体" w:eastAsia="宋体" w:hAnsi="宋体" w:cs="Times New Roman"/>
          <w:kern w:val="0"/>
          <w:sz w:val="24"/>
        </w:rPr>
      </w:pPr>
    </w:p>
    <w:p w14:paraId="3D00D2F8"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十五、因证券市场波动、上市公司合并、投资组合或产品规模变动等投资管</w:t>
      </w:r>
      <w:r w:rsidRPr="00421C24">
        <w:rPr>
          <w:rFonts w:ascii="宋体" w:eastAsia="宋体" w:hAnsi="宋体" w:cs="Times New Roman"/>
          <w:kern w:val="0"/>
          <w:sz w:val="24"/>
        </w:rPr>
        <w:lastRenderedPageBreak/>
        <w:t>理人之外的因素致使年金基金投资不符合投资比例要求的，投资管理人应当在可上市交易之日起10个交易日内调整完毕。因信用等级下降等因素致使年金基金所投金融产品不再符合投资条件的，投资管理人应当在评级报告等信息发布之日起30个交易日内调整完毕。法律法规或监管部门另有规定的，从其规定。</w:t>
      </w:r>
    </w:p>
    <w:p w14:paraId="63AA3E92" w14:textId="77777777" w:rsidR="00421C24" w:rsidRPr="00421C24" w:rsidRDefault="00421C24" w:rsidP="00421C24">
      <w:pPr>
        <w:spacing w:line="360" w:lineRule="auto"/>
        <w:rPr>
          <w:rFonts w:ascii="宋体" w:eastAsia="宋体" w:hAnsi="宋体" w:cs="Times New Roman"/>
          <w:kern w:val="0"/>
          <w:sz w:val="24"/>
        </w:rPr>
      </w:pPr>
    </w:p>
    <w:p w14:paraId="152F5603"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十六、金融产品的估值按照相关法律法规或者监管部门的规定执行。</w:t>
      </w:r>
    </w:p>
    <w:p w14:paraId="540364F0" w14:textId="77777777" w:rsidR="00421C24" w:rsidRPr="00421C24" w:rsidRDefault="00421C24" w:rsidP="00421C24">
      <w:pPr>
        <w:spacing w:line="360" w:lineRule="auto"/>
        <w:rPr>
          <w:rFonts w:ascii="宋体" w:eastAsia="宋体" w:hAnsi="宋体" w:cs="Times New Roman"/>
          <w:kern w:val="0"/>
          <w:sz w:val="24"/>
        </w:rPr>
      </w:pPr>
    </w:p>
    <w:p w14:paraId="21443FB4"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十七、年金基金投资应当按照穿透式管理要求，明确约定投资的底层资产符合年金基金投资范围，不得多层嵌套。其中，货币市场基金、债券基金、混合基金、股票基金可不受本限制。</w:t>
      </w:r>
    </w:p>
    <w:p w14:paraId="524CA12D" w14:textId="77777777" w:rsidR="00421C24" w:rsidRPr="00421C24" w:rsidRDefault="00421C24" w:rsidP="00421C24">
      <w:pPr>
        <w:spacing w:line="360" w:lineRule="auto"/>
        <w:rPr>
          <w:rFonts w:ascii="宋体" w:eastAsia="宋体" w:hAnsi="宋体" w:cs="Times New Roman"/>
          <w:kern w:val="0"/>
          <w:sz w:val="24"/>
        </w:rPr>
      </w:pPr>
    </w:p>
    <w:p w14:paraId="60D00B72"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十八、投资管理人投资的非标准化债权类资产，募集资金投资方向应当符合国家宏观政策、产业政策和监管政策；产品结构简单，基础资产清晰，信用增级安排确凿，具有稳定可预期的现金流；建立信息披露机制和风险隔离机制，并实行资产托（保）管。投资管理人应当优先投资在公开平台登记发行和交易转让的金融产品。</w:t>
      </w:r>
    </w:p>
    <w:p w14:paraId="2853F4EC" w14:textId="77777777" w:rsidR="00421C24" w:rsidRPr="00421C24" w:rsidRDefault="00421C24" w:rsidP="00421C24">
      <w:pPr>
        <w:spacing w:line="360" w:lineRule="auto"/>
        <w:rPr>
          <w:rFonts w:ascii="宋体" w:eastAsia="宋体" w:hAnsi="宋体" w:cs="Times New Roman"/>
          <w:kern w:val="0"/>
          <w:sz w:val="24"/>
        </w:rPr>
      </w:pPr>
    </w:p>
    <w:p w14:paraId="549A6B2D" w14:textId="3204184E"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十九、企业年金计划委托人、职业年金计划代理人不得直接或间接指定管理人配置金融产品。年金基金管理机构应当利用年金基金资金长期、稳定的优势，发挥自身专业能力，着眼长期，实现年金基金保值增值。</w:t>
      </w:r>
    </w:p>
    <w:p w14:paraId="430E8CEB" w14:textId="77777777" w:rsidR="00421C24"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法人受托机构、企业年金理事会应当做好计划层面风险防控，确保资产配置比例符合相关规定，提高大类资产配置能力；托管人应当认真履行投资监督职责，督促合</w:t>
      </w:r>
      <w:proofErr w:type="gramStart"/>
      <w:r w:rsidRPr="00421C24">
        <w:rPr>
          <w:rFonts w:ascii="宋体" w:eastAsia="宋体" w:hAnsi="宋体" w:cs="Times New Roman"/>
          <w:kern w:val="0"/>
          <w:sz w:val="24"/>
        </w:rPr>
        <w:t>规</w:t>
      </w:r>
      <w:proofErr w:type="gramEnd"/>
      <w:r w:rsidRPr="00421C24">
        <w:rPr>
          <w:rFonts w:ascii="宋体" w:eastAsia="宋体" w:hAnsi="宋体" w:cs="Times New Roman"/>
          <w:kern w:val="0"/>
          <w:sz w:val="24"/>
        </w:rPr>
        <w:t>运作，维护资产安全；投资管理人应当加强风险防范，持续跟踪金融产品管理运作，投资有关金融产品时，不得与当事人发生涉及利益输送、利益转移等不当交易行为，不得通过关联交易或者其他方式侵害年金委托人的利益。</w:t>
      </w:r>
    </w:p>
    <w:p w14:paraId="2040D89B" w14:textId="77777777" w:rsidR="00421C24" w:rsidRPr="00421C24" w:rsidRDefault="00421C24" w:rsidP="00421C24">
      <w:pPr>
        <w:spacing w:line="360" w:lineRule="auto"/>
        <w:rPr>
          <w:rFonts w:ascii="宋体" w:eastAsia="宋体" w:hAnsi="宋体" w:cs="Times New Roman"/>
          <w:kern w:val="0"/>
          <w:sz w:val="24"/>
        </w:rPr>
      </w:pPr>
    </w:p>
    <w:p w14:paraId="7E6AC242" w14:textId="72C285DA" w:rsidR="004C3C2E" w:rsidRPr="00421C24" w:rsidRDefault="00421C24" w:rsidP="00421C24">
      <w:pPr>
        <w:spacing w:line="360" w:lineRule="auto"/>
        <w:rPr>
          <w:rFonts w:ascii="宋体" w:eastAsia="宋体" w:hAnsi="宋体" w:cs="Times New Roman"/>
          <w:kern w:val="0"/>
          <w:sz w:val="24"/>
        </w:rPr>
      </w:pPr>
      <w:r w:rsidRPr="00421C24">
        <w:rPr>
          <w:rFonts w:ascii="宋体" w:eastAsia="宋体" w:hAnsi="宋体" w:cs="Times New Roman"/>
          <w:kern w:val="0"/>
          <w:sz w:val="24"/>
        </w:rPr>
        <w:t xml:space="preserve">　　二十、本通知自2021年1月1日起实施，《关于扩大企业年金基金投资范围的通知》（</w:t>
      </w:r>
      <w:proofErr w:type="gramStart"/>
      <w:r w:rsidRPr="00421C24">
        <w:rPr>
          <w:rFonts w:ascii="宋体" w:eastAsia="宋体" w:hAnsi="宋体" w:cs="Times New Roman"/>
          <w:kern w:val="0"/>
          <w:sz w:val="24"/>
        </w:rPr>
        <w:t>人社部</w:t>
      </w:r>
      <w:proofErr w:type="gramEnd"/>
      <w:r w:rsidRPr="00421C24">
        <w:rPr>
          <w:rFonts w:ascii="宋体" w:eastAsia="宋体" w:hAnsi="宋体" w:cs="Times New Roman"/>
          <w:kern w:val="0"/>
          <w:sz w:val="24"/>
        </w:rPr>
        <w:t>发〔2013〕23号）同时废止。《企业年金基金管理办法》（人力资源社会保障部令第11号）第六章、《人力资源社会保障部财政部关于印发</w:t>
      </w:r>
      <w:r w:rsidRPr="00421C24">
        <w:rPr>
          <w:rFonts w:ascii="宋体" w:eastAsia="宋体" w:hAnsi="宋体" w:cs="Times New Roman"/>
          <w:kern w:val="0"/>
          <w:sz w:val="24"/>
        </w:rPr>
        <w:lastRenderedPageBreak/>
        <w:t>职业年金基金管理暂行办法的通知》（</w:t>
      </w:r>
      <w:proofErr w:type="gramStart"/>
      <w:r w:rsidRPr="00421C24">
        <w:rPr>
          <w:rFonts w:ascii="宋体" w:eastAsia="宋体" w:hAnsi="宋体" w:cs="Times New Roman"/>
          <w:kern w:val="0"/>
          <w:sz w:val="24"/>
        </w:rPr>
        <w:t>人社部</w:t>
      </w:r>
      <w:proofErr w:type="gramEnd"/>
      <w:r w:rsidRPr="00421C24">
        <w:rPr>
          <w:rFonts w:ascii="宋体" w:eastAsia="宋体" w:hAnsi="宋体" w:cs="Times New Roman"/>
          <w:kern w:val="0"/>
          <w:sz w:val="24"/>
        </w:rPr>
        <w:t>发〔2016〕92号）第三章、《关于企业年金养老金产品有关问题的通知》（</w:t>
      </w:r>
      <w:proofErr w:type="gramStart"/>
      <w:r w:rsidRPr="00421C24">
        <w:rPr>
          <w:rFonts w:ascii="宋体" w:eastAsia="宋体" w:hAnsi="宋体" w:cs="Times New Roman"/>
          <w:kern w:val="0"/>
          <w:sz w:val="24"/>
        </w:rPr>
        <w:t>人社部</w:t>
      </w:r>
      <w:proofErr w:type="gramEnd"/>
      <w:r w:rsidRPr="00421C24">
        <w:rPr>
          <w:rFonts w:ascii="宋体" w:eastAsia="宋体" w:hAnsi="宋体" w:cs="Times New Roman"/>
          <w:kern w:val="0"/>
          <w:sz w:val="24"/>
        </w:rPr>
        <w:t>发〔2013〕24号）以及《关于企业年金基金股权和优先股投资试点的通知》（</w:t>
      </w:r>
      <w:proofErr w:type="gramStart"/>
      <w:r w:rsidRPr="00421C24">
        <w:rPr>
          <w:rFonts w:ascii="宋体" w:eastAsia="宋体" w:hAnsi="宋体" w:cs="Times New Roman"/>
          <w:kern w:val="0"/>
          <w:sz w:val="24"/>
        </w:rPr>
        <w:t>人社部</w:t>
      </w:r>
      <w:proofErr w:type="gramEnd"/>
      <w:r w:rsidRPr="00421C24">
        <w:rPr>
          <w:rFonts w:ascii="宋体" w:eastAsia="宋体" w:hAnsi="宋体" w:cs="Times New Roman"/>
          <w:kern w:val="0"/>
          <w:sz w:val="24"/>
        </w:rPr>
        <w:t>发〔2014〕64号）中与本通知不符的内容依照本通知相应调整。</w:t>
      </w:r>
    </w:p>
    <w:p w14:paraId="2C18AB13" w14:textId="08BF9B77" w:rsidR="00421C24" w:rsidRPr="004C3C2E" w:rsidRDefault="00D609EC" w:rsidP="00421C24">
      <w:pPr>
        <w:spacing w:line="360" w:lineRule="auto"/>
        <w:jc w:val="right"/>
        <w:rPr>
          <w:rFonts w:ascii="宋体" w:eastAsia="宋体" w:hAnsi="宋体" w:cs="Times New Roman"/>
          <w:kern w:val="0"/>
          <w:sz w:val="24"/>
        </w:rPr>
      </w:pPr>
      <w:r w:rsidRPr="00D609EC">
        <w:rPr>
          <w:rFonts w:ascii="宋体" w:eastAsia="宋体" w:hAnsi="宋体" w:cs="Times New Roman"/>
          <w:kern w:val="0"/>
          <w:sz w:val="24"/>
        </w:rPr>
        <w:t xml:space="preserve">　　</w:t>
      </w:r>
    </w:p>
    <w:p w14:paraId="22D60B0F" w14:textId="3F474549" w:rsidR="00CB4BBA" w:rsidRPr="00CB4BBA" w:rsidRDefault="00CB4BBA" w:rsidP="002912D1">
      <w:pPr>
        <w:widowControl/>
        <w:jc w:val="left"/>
        <w:rPr>
          <w:rFonts w:ascii="宋体" w:eastAsia="宋体" w:hAnsi="宋体" w:cs="宋体" w:hint="eastAsia"/>
          <w:kern w:val="0"/>
          <w:sz w:val="24"/>
        </w:rPr>
      </w:pPr>
      <w:r w:rsidRPr="002912D1">
        <w:rPr>
          <w:rFonts w:ascii="宋体" w:eastAsia="宋体" w:hAnsi="宋体" w:cs="宋体"/>
          <w:kern w:val="0"/>
          <w:sz w:val="24"/>
        </w:rPr>
        <w:t>来源：</w:t>
      </w:r>
      <w:r w:rsidRPr="002912D1">
        <w:rPr>
          <w:rFonts w:ascii="宋体" w:eastAsia="宋体" w:hAnsi="宋体" w:cs="宋体" w:hint="eastAsia"/>
          <w:kern w:val="0"/>
          <w:sz w:val="24"/>
        </w:rPr>
        <w:t>人力资源社会保障部</w:t>
      </w:r>
    </w:p>
    <w:p w14:paraId="6E60A36A" w14:textId="0395BF3C" w:rsidR="002912D1" w:rsidRDefault="002912D1" w:rsidP="002912D1">
      <w:pPr>
        <w:widowControl/>
        <w:jc w:val="left"/>
        <w:rPr>
          <w:rFonts w:ascii="宋体" w:eastAsia="宋体" w:hAnsi="宋体" w:cs="宋体"/>
          <w:kern w:val="0"/>
          <w:sz w:val="24"/>
        </w:rPr>
      </w:pPr>
      <w:r w:rsidRPr="002912D1">
        <w:rPr>
          <w:rFonts w:ascii="宋体" w:eastAsia="宋体" w:hAnsi="宋体" w:cs="宋体"/>
          <w:kern w:val="0"/>
          <w:sz w:val="24"/>
        </w:rPr>
        <w:t>链接：</w:t>
      </w:r>
      <w:r w:rsidRPr="00E460E6">
        <w:rPr>
          <w:rFonts w:ascii="宋体" w:eastAsia="宋体" w:hAnsi="宋体" w:cs="宋体"/>
          <w:kern w:val="0"/>
          <w:sz w:val="24"/>
        </w:rPr>
        <w:t>http://www.mohrss.gov.cn/SYrlzyhshbzb/shehuibaozhang/zcwj/202012/t20201230_406915.html</w:t>
      </w:r>
    </w:p>
    <w:sectPr w:rsidR="002912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E3FC" w14:textId="77777777" w:rsidR="0039497B" w:rsidRDefault="0039497B" w:rsidP="00E460E6">
      <w:r>
        <w:separator/>
      </w:r>
    </w:p>
  </w:endnote>
  <w:endnote w:type="continuationSeparator" w:id="0">
    <w:p w14:paraId="4EA74A16" w14:textId="77777777" w:rsidR="0039497B" w:rsidRDefault="0039497B" w:rsidP="00E4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8C61" w14:textId="77777777" w:rsidR="0039497B" w:rsidRDefault="0039497B" w:rsidP="00E460E6">
      <w:r>
        <w:separator/>
      </w:r>
    </w:p>
  </w:footnote>
  <w:footnote w:type="continuationSeparator" w:id="0">
    <w:p w14:paraId="68DFC171" w14:textId="77777777" w:rsidR="0039497B" w:rsidRDefault="0039497B" w:rsidP="00E46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1BE"/>
    <w:multiLevelType w:val="hybridMultilevel"/>
    <w:tmpl w:val="BCEE92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AC6443"/>
    <w:multiLevelType w:val="hybridMultilevel"/>
    <w:tmpl w:val="54E2E0CC"/>
    <w:lvl w:ilvl="0" w:tplc="7AFC9C60">
      <w:start w:val="1"/>
      <w:numFmt w:val="decimal"/>
      <w:lvlText w:val="%1."/>
      <w:lvlJc w:val="left"/>
      <w:pPr>
        <w:ind w:left="360" w:hanging="360"/>
      </w:pPr>
      <w:rPr>
        <w:rFonts w:ascii="Times New Roman" w:hAnsi="Times New Roman" w:cs="Times New Roman"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DC9676D"/>
    <w:multiLevelType w:val="hybridMultilevel"/>
    <w:tmpl w:val="54E2E0CC"/>
    <w:lvl w:ilvl="0" w:tplc="7AFC9C60">
      <w:start w:val="1"/>
      <w:numFmt w:val="decimal"/>
      <w:lvlText w:val="%1."/>
      <w:lvlJc w:val="left"/>
      <w:pPr>
        <w:ind w:left="360" w:hanging="360"/>
      </w:pPr>
      <w:rPr>
        <w:rFonts w:ascii="Times New Roman" w:hAnsi="Times New Roman" w:cs="Times New Roman"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E4"/>
    <w:rsid w:val="000B48A1"/>
    <w:rsid w:val="002912D1"/>
    <w:rsid w:val="0039497B"/>
    <w:rsid w:val="00421C24"/>
    <w:rsid w:val="004C3C2E"/>
    <w:rsid w:val="004C41E4"/>
    <w:rsid w:val="00970919"/>
    <w:rsid w:val="009E43B3"/>
    <w:rsid w:val="00A31C1B"/>
    <w:rsid w:val="00A9795A"/>
    <w:rsid w:val="00B101FB"/>
    <w:rsid w:val="00CB4BBA"/>
    <w:rsid w:val="00D609EC"/>
    <w:rsid w:val="00E4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2230"/>
  <w15:chartTrackingRefBased/>
  <w15:docId w15:val="{05895DA6-1166-B249-961A-9CF16A9F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1E4"/>
    <w:pPr>
      <w:widowControl/>
      <w:ind w:firstLineChars="200" w:firstLine="420"/>
      <w:jc w:val="left"/>
    </w:pPr>
    <w:rPr>
      <w:rFonts w:ascii="Times New Roman" w:hAnsi="Times New Roman" w:cs="Times New Roman"/>
      <w:kern w:val="0"/>
      <w:sz w:val="24"/>
    </w:rPr>
  </w:style>
  <w:style w:type="paragraph" w:styleId="a4">
    <w:name w:val="Normal (Web)"/>
    <w:basedOn w:val="a"/>
    <w:uiPriority w:val="99"/>
    <w:unhideWhenUsed/>
    <w:rsid w:val="004C41E4"/>
    <w:pPr>
      <w:widowControl/>
      <w:spacing w:before="100" w:beforeAutospacing="1" w:after="100" w:afterAutospacing="1"/>
      <w:jc w:val="left"/>
    </w:pPr>
    <w:rPr>
      <w:rFonts w:ascii="Times New Roman" w:hAnsi="Times New Roman" w:cs="Times New Roman"/>
      <w:kern w:val="0"/>
      <w:sz w:val="24"/>
    </w:rPr>
  </w:style>
  <w:style w:type="character" w:styleId="a5">
    <w:name w:val="Hyperlink"/>
    <w:basedOn w:val="a0"/>
    <w:uiPriority w:val="99"/>
    <w:unhideWhenUsed/>
    <w:rsid w:val="002912D1"/>
    <w:rPr>
      <w:color w:val="0563C1" w:themeColor="hyperlink"/>
      <w:u w:val="single"/>
    </w:rPr>
  </w:style>
  <w:style w:type="character" w:styleId="a6">
    <w:name w:val="Unresolved Mention"/>
    <w:basedOn w:val="a0"/>
    <w:uiPriority w:val="99"/>
    <w:semiHidden/>
    <w:unhideWhenUsed/>
    <w:rsid w:val="002912D1"/>
    <w:rPr>
      <w:color w:val="605E5C"/>
      <w:shd w:val="clear" w:color="auto" w:fill="E1DFDD"/>
    </w:rPr>
  </w:style>
  <w:style w:type="paragraph" w:styleId="a7">
    <w:name w:val="header"/>
    <w:basedOn w:val="a"/>
    <w:link w:val="a8"/>
    <w:uiPriority w:val="99"/>
    <w:unhideWhenUsed/>
    <w:rsid w:val="00E460E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460E6"/>
    <w:rPr>
      <w:sz w:val="18"/>
      <w:szCs w:val="18"/>
    </w:rPr>
  </w:style>
  <w:style w:type="paragraph" w:styleId="a9">
    <w:name w:val="footer"/>
    <w:basedOn w:val="a"/>
    <w:link w:val="aa"/>
    <w:uiPriority w:val="99"/>
    <w:unhideWhenUsed/>
    <w:rsid w:val="00E460E6"/>
    <w:pPr>
      <w:tabs>
        <w:tab w:val="center" w:pos="4153"/>
        <w:tab w:val="right" w:pos="8306"/>
      </w:tabs>
      <w:snapToGrid w:val="0"/>
      <w:jc w:val="left"/>
    </w:pPr>
    <w:rPr>
      <w:sz w:val="18"/>
      <w:szCs w:val="18"/>
    </w:rPr>
  </w:style>
  <w:style w:type="character" w:customStyle="1" w:styleId="aa">
    <w:name w:val="页脚 字符"/>
    <w:basedOn w:val="a0"/>
    <w:link w:val="a9"/>
    <w:uiPriority w:val="99"/>
    <w:rsid w:val="00E460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47">
      <w:bodyDiv w:val="1"/>
      <w:marLeft w:val="0"/>
      <w:marRight w:val="0"/>
      <w:marTop w:val="0"/>
      <w:marBottom w:val="0"/>
      <w:divBdr>
        <w:top w:val="none" w:sz="0" w:space="0" w:color="auto"/>
        <w:left w:val="none" w:sz="0" w:space="0" w:color="auto"/>
        <w:bottom w:val="none" w:sz="0" w:space="0" w:color="auto"/>
        <w:right w:val="none" w:sz="0" w:space="0" w:color="auto"/>
      </w:divBdr>
    </w:div>
    <w:div w:id="11997848">
      <w:bodyDiv w:val="1"/>
      <w:marLeft w:val="0"/>
      <w:marRight w:val="0"/>
      <w:marTop w:val="0"/>
      <w:marBottom w:val="0"/>
      <w:divBdr>
        <w:top w:val="none" w:sz="0" w:space="0" w:color="auto"/>
        <w:left w:val="none" w:sz="0" w:space="0" w:color="auto"/>
        <w:bottom w:val="none" w:sz="0" w:space="0" w:color="auto"/>
        <w:right w:val="none" w:sz="0" w:space="0" w:color="auto"/>
      </w:divBdr>
    </w:div>
    <w:div w:id="28847866">
      <w:bodyDiv w:val="1"/>
      <w:marLeft w:val="0"/>
      <w:marRight w:val="0"/>
      <w:marTop w:val="0"/>
      <w:marBottom w:val="0"/>
      <w:divBdr>
        <w:top w:val="none" w:sz="0" w:space="0" w:color="auto"/>
        <w:left w:val="none" w:sz="0" w:space="0" w:color="auto"/>
        <w:bottom w:val="none" w:sz="0" w:space="0" w:color="auto"/>
        <w:right w:val="none" w:sz="0" w:space="0" w:color="auto"/>
      </w:divBdr>
    </w:div>
    <w:div w:id="227963769">
      <w:bodyDiv w:val="1"/>
      <w:marLeft w:val="0"/>
      <w:marRight w:val="0"/>
      <w:marTop w:val="0"/>
      <w:marBottom w:val="0"/>
      <w:divBdr>
        <w:top w:val="none" w:sz="0" w:space="0" w:color="auto"/>
        <w:left w:val="none" w:sz="0" w:space="0" w:color="auto"/>
        <w:bottom w:val="none" w:sz="0" w:space="0" w:color="auto"/>
        <w:right w:val="none" w:sz="0" w:space="0" w:color="auto"/>
      </w:divBdr>
    </w:div>
    <w:div w:id="312220068">
      <w:bodyDiv w:val="1"/>
      <w:marLeft w:val="0"/>
      <w:marRight w:val="0"/>
      <w:marTop w:val="0"/>
      <w:marBottom w:val="0"/>
      <w:divBdr>
        <w:top w:val="none" w:sz="0" w:space="0" w:color="auto"/>
        <w:left w:val="none" w:sz="0" w:space="0" w:color="auto"/>
        <w:bottom w:val="none" w:sz="0" w:space="0" w:color="auto"/>
        <w:right w:val="none" w:sz="0" w:space="0" w:color="auto"/>
      </w:divBdr>
    </w:div>
    <w:div w:id="355083228">
      <w:bodyDiv w:val="1"/>
      <w:marLeft w:val="0"/>
      <w:marRight w:val="0"/>
      <w:marTop w:val="0"/>
      <w:marBottom w:val="0"/>
      <w:divBdr>
        <w:top w:val="none" w:sz="0" w:space="0" w:color="auto"/>
        <w:left w:val="none" w:sz="0" w:space="0" w:color="auto"/>
        <w:bottom w:val="none" w:sz="0" w:space="0" w:color="auto"/>
        <w:right w:val="none" w:sz="0" w:space="0" w:color="auto"/>
      </w:divBdr>
    </w:div>
    <w:div w:id="454174146">
      <w:bodyDiv w:val="1"/>
      <w:marLeft w:val="0"/>
      <w:marRight w:val="0"/>
      <w:marTop w:val="0"/>
      <w:marBottom w:val="0"/>
      <w:divBdr>
        <w:top w:val="none" w:sz="0" w:space="0" w:color="auto"/>
        <w:left w:val="none" w:sz="0" w:space="0" w:color="auto"/>
        <w:bottom w:val="none" w:sz="0" w:space="0" w:color="auto"/>
        <w:right w:val="none" w:sz="0" w:space="0" w:color="auto"/>
      </w:divBdr>
    </w:div>
    <w:div w:id="583341211">
      <w:bodyDiv w:val="1"/>
      <w:marLeft w:val="0"/>
      <w:marRight w:val="0"/>
      <w:marTop w:val="0"/>
      <w:marBottom w:val="0"/>
      <w:divBdr>
        <w:top w:val="none" w:sz="0" w:space="0" w:color="auto"/>
        <w:left w:val="none" w:sz="0" w:space="0" w:color="auto"/>
        <w:bottom w:val="none" w:sz="0" w:space="0" w:color="auto"/>
        <w:right w:val="none" w:sz="0" w:space="0" w:color="auto"/>
      </w:divBdr>
    </w:div>
    <w:div w:id="646251049">
      <w:bodyDiv w:val="1"/>
      <w:marLeft w:val="0"/>
      <w:marRight w:val="0"/>
      <w:marTop w:val="0"/>
      <w:marBottom w:val="0"/>
      <w:divBdr>
        <w:top w:val="none" w:sz="0" w:space="0" w:color="auto"/>
        <w:left w:val="none" w:sz="0" w:space="0" w:color="auto"/>
        <w:bottom w:val="none" w:sz="0" w:space="0" w:color="auto"/>
        <w:right w:val="none" w:sz="0" w:space="0" w:color="auto"/>
      </w:divBdr>
    </w:div>
    <w:div w:id="780077305">
      <w:bodyDiv w:val="1"/>
      <w:marLeft w:val="0"/>
      <w:marRight w:val="0"/>
      <w:marTop w:val="0"/>
      <w:marBottom w:val="0"/>
      <w:divBdr>
        <w:top w:val="none" w:sz="0" w:space="0" w:color="auto"/>
        <w:left w:val="none" w:sz="0" w:space="0" w:color="auto"/>
        <w:bottom w:val="none" w:sz="0" w:space="0" w:color="auto"/>
        <w:right w:val="none" w:sz="0" w:space="0" w:color="auto"/>
      </w:divBdr>
    </w:div>
    <w:div w:id="913201612">
      <w:bodyDiv w:val="1"/>
      <w:marLeft w:val="0"/>
      <w:marRight w:val="0"/>
      <w:marTop w:val="0"/>
      <w:marBottom w:val="0"/>
      <w:divBdr>
        <w:top w:val="none" w:sz="0" w:space="0" w:color="auto"/>
        <w:left w:val="none" w:sz="0" w:space="0" w:color="auto"/>
        <w:bottom w:val="none" w:sz="0" w:space="0" w:color="auto"/>
        <w:right w:val="none" w:sz="0" w:space="0" w:color="auto"/>
      </w:divBdr>
    </w:div>
    <w:div w:id="929852652">
      <w:bodyDiv w:val="1"/>
      <w:marLeft w:val="0"/>
      <w:marRight w:val="0"/>
      <w:marTop w:val="0"/>
      <w:marBottom w:val="0"/>
      <w:divBdr>
        <w:top w:val="none" w:sz="0" w:space="0" w:color="auto"/>
        <w:left w:val="none" w:sz="0" w:space="0" w:color="auto"/>
        <w:bottom w:val="none" w:sz="0" w:space="0" w:color="auto"/>
        <w:right w:val="none" w:sz="0" w:space="0" w:color="auto"/>
      </w:divBdr>
    </w:div>
    <w:div w:id="1086994714">
      <w:bodyDiv w:val="1"/>
      <w:marLeft w:val="0"/>
      <w:marRight w:val="0"/>
      <w:marTop w:val="0"/>
      <w:marBottom w:val="0"/>
      <w:divBdr>
        <w:top w:val="none" w:sz="0" w:space="0" w:color="auto"/>
        <w:left w:val="none" w:sz="0" w:space="0" w:color="auto"/>
        <w:bottom w:val="none" w:sz="0" w:space="0" w:color="auto"/>
        <w:right w:val="none" w:sz="0" w:space="0" w:color="auto"/>
      </w:divBdr>
    </w:div>
    <w:div w:id="1122722517">
      <w:bodyDiv w:val="1"/>
      <w:marLeft w:val="0"/>
      <w:marRight w:val="0"/>
      <w:marTop w:val="0"/>
      <w:marBottom w:val="0"/>
      <w:divBdr>
        <w:top w:val="none" w:sz="0" w:space="0" w:color="auto"/>
        <w:left w:val="none" w:sz="0" w:space="0" w:color="auto"/>
        <w:bottom w:val="none" w:sz="0" w:space="0" w:color="auto"/>
        <w:right w:val="none" w:sz="0" w:space="0" w:color="auto"/>
      </w:divBdr>
    </w:div>
    <w:div w:id="1153763269">
      <w:bodyDiv w:val="1"/>
      <w:marLeft w:val="0"/>
      <w:marRight w:val="0"/>
      <w:marTop w:val="0"/>
      <w:marBottom w:val="0"/>
      <w:divBdr>
        <w:top w:val="none" w:sz="0" w:space="0" w:color="auto"/>
        <w:left w:val="none" w:sz="0" w:space="0" w:color="auto"/>
        <w:bottom w:val="none" w:sz="0" w:space="0" w:color="auto"/>
        <w:right w:val="none" w:sz="0" w:space="0" w:color="auto"/>
      </w:divBdr>
    </w:div>
    <w:div w:id="1155683638">
      <w:bodyDiv w:val="1"/>
      <w:marLeft w:val="0"/>
      <w:marRight w:val="0"/>
      <w:marTop w:val="0"/>
      <w:marBottom w:val="0"/>
      <w:divBdr>
        <w:top w:val="none" w:sz="0" w:space="0" w:color="auto"/>
        <w:left w:val="none" w:sz="0" w:space="0" w:color="auto"/>
        <w:bottom w:val="none" w:sz="0" w:space="0" w:color="auto"/>
        <w:right w:val="none" w:sz="0" w:space="0" w:color="auto"/>
      </w:divBdr>
    </w:div>
    <w:div w:id="1192496306">
      <w:bodyDiv w:val="1"/>
      <w:marLeft w:val="0"/>
      <w:marRight w:val="0"/>
      <w:marTop w:val="0"/>
      <w:marBottom w:val="0"/>
      <w:divBdr>
        <w:top w:val="none" w:sz="0" w:space="0" w:color="auto"/>
        <w:left w:val="none" w:sz="0" w:space="0" w:color="auto"/>
        <w:bottom w:val="none" w:sz="0" w:space="0" w:color="auto"/>
        <w:right w:val="none" w:sz="0" w:space="0" w:color="auto"/>
      </w:divBdr>
    </w:div>
    <w:div w:id="1503931452">
      <w:bodyDiv w:val="1"/>
      <w:marLeft w:val="0"/>
      <w:marRight w:val="0"/>
      <w:marTop w:val="0"/>
      <w:marBottom w:val="0"/>
      <w:divBdr>
        <w:top w:val="none" w:sz="0" w:space="0" w:color="auto"/>
        <w:left w:val="none" w:sz="0" w:space="0" w:color="auto"/>
        <w:bottom w:val="none" w:sz="0" w:space="0" w:color="auto"/>
        <w:right w:val="none" w:sz="0" w:space="0" w:color="auto"/>
      </w:divBdr>
    </w:div>
    <w:div w:id="1528058038">
      <w:bodyDiv w:val="1"/>
      <w:marLeft w:val="0"/>
      <w:marRight w:val="0"/>
      <w:marTop w:val="0"/>
      <w:marBottom w:val="0"/>
      <w:divBdr>
        <w:top w:val="none" w:sz="0" w:space="0" w:color="auto"/>
        <w:left w:val="none" w:sz="0" w:space="0" w:color="auto"/>
        <w:bottom w:val="none" w:sz="0" w:space="0" w:color="auto"/>
        <w:right w:val="none" w:sz="0" w:space="0" w:color="auto"/>
      </w:divBdr>
    </w:div>
    <w:div w:id="1537237599">
      <w:bodyDiv w:val="1"/>
      <w:marLeft w:val="0"/>
      <w:marRight w:val="0"/>
      <w:marTop w:val="0"/>
      <w:marBottom w:val="0"/>
      <w:divBdr>
        <w:top w:val="none" w:sz="0" w:space="0" w:color="auto"/>
        <w:left w:val="none" w:sz="0" w:space="0" w:color="auto"/>
        <w:bottom w:val="none" w:sz="0" w:space="0" w:color="auto"/>
        <w:right w:val="none" w:sz="0" w:space="0" w:color="auto"/>
      </w:divBdr>
    </w:div>
    <w:div w:id="1863395138">
      <w:bodyDiv w:val="1"/>
      <w:marLeft w:val="0"/>
      <w:marRight w:val="0"/>
      <w:marTop w:val="0"/>
      <w:marBottom w:val="0"/>
      <w:divBdr>
        <w:top w:val="none" w:sz="0" w:space="0" w:color="auto"/>
        <w:left w:val="none" w:sz="0" w:space="0" w:color="auto"/>
        <w:bottom w:val="none" w:sz="0" w:space="0" w:color="auto"/>
        <w:right w:val="none" w:sz="0" w:space="0" w:color="auto"/>
      </w:divBdr>
    </w:div>
    <w:div w:id="1877740834">
      <w:bodyDiv w:val="1"/>
      <w:marLeft w:val="0"/>
      <w:marRight w:val="0"/>
      <w:marTop w:val="0"/>
      <w:marBottom w:val="0"/>
      <w:divBdr>
        <w:top w:val="none" w:sz="0" w:space="0" w:color="auto"/>
        <w:left w:val="none" w:sz="0" w:space="0" w:color="auto"/>
        <w:bottom w:val="none" w:sz="0" w:space="0" w:color="auto"/>
        <w:right w:val="none" w:sz="0" w:space="0" w:color="auto"/>
      </w:divBdr>
      <w:divsChild>
        <w:div w:id="1095244167">
          <w:marLeft w:val="0"/>
          <w:marRight w:val="0"/>
          <w:marTop w:val="0"/>
          <w:marBottom w:val="0"/>
          <w:divBdr>
            <w:top w:val="none" w:sz="0" w:space="0" w:color="auto"/>
            <w:left w:val="none" w:sz="0" w:space="0" w:color="auto"/>
            <w:bottom w:val="none" w:sz="0" w:space="0" w:color="auto"/>
            <w:right w:val="none" w:sz="0" w:space="0" w:color="auto"/>
          </w:divBdr>
          <w:divsChild>
            <w:div w:id="15640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Aisi</dc:creator>
  <cp:keywords/>
  <dc:description/>
  <cp:lastModifiedBy>周 怡</cp:lastModifiedBy>
  <cp:revision>6</cp:revision>
  <dcterms:created xsi:type="dcterms:W3CDTF">2020-12-31T01:43:00Z</dcterms:created>
  <dcterms:modified xsi:type="dcterms:W3CDTF">2021-12-31T01:13:00Z</dcterms:modified>
</cp:coreProperties>
</file>